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5FCC" w14:textId="77777777" w:rsidR="00FA10BB" w:rsidRDefault="00FA10BB" w:rsidP="00FA10BB">
      <w:pPr>
        <w:jc w:val="center"/>
        <w:rPr>
          <w:b/>
          <w:noProof/>
          <w:lang w:eastAsia="es-ES"/>
        </w:rPr>
      </w:pPr>
      <w:r w:rsidRPr="009E3FD2">
        <w:rPr>
          <w:b/>
          <w:noProof/>
          <w:lang w:eastAsia="es-ES"/>
        </w:rPr>
        <w:t xml:space="preserve">ACTA NÙMERO </w:t>
      </w:r>
      <w:r>
        <w:rPr>
          <w:b/>
          <w:noProof/>
          <w:lang w:eastAsia="es-ES"/>
        </w:rPr>
        <w:t>01</w:t>
      </w:r>
      <w:r w:rsidR="00C12052">
        <w:rPr>
          <w:b/>
          <w:noProof/>
          <w:lang w:eastAsia="es-ES"/>
        </w:rPr>
        <w:t>5</w:t>
      </w:r>
      <w:r w:rsidRPr="009E3FD2">
        <w:rPr>
          <w:b/>
          <w:noProof/>
          <w:lang w:eastAsia="es-ES"/>
        </w:rPr>
        <w:t>_ 20</w:t>
      </w:r>
      <w:r>
        <w:rPr>
          <w:b/>
          <w:noProof/>
          <w:lang w:eastAsia="es-ES"/>
        </w:rPr>
        <w:t>22 DEL CONSEJO DIRECTIVO</w:t>
      </w:r>
    </w:p>
    <w:p w14:paraId="7260E5A8" w14:textId="77777777" w:rsidR="00C12052" w:rsidRPr="009E3FD2" w:rsidRDefault="00C12052" w:rsidP="00FA10BB">
      <w:pPr>
        <w:jc w:val="center"/>
        <w:rPr>
          <w:b/>
          <w:noProof/>
          <w:lang w:eastAsia="es-ES"/>
        </w:rPr>
      </w:pPr>
    </w:p>
    <w:p w14:paraId="0A5741FD" w14:textId="222B9136" w:rsidR="00771183" w:rsidRDefault="002E3F14" w:rsidP="001B0A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Tunja,  </w:t>
      </w:r>
      <w:r w:rsidR="001865E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 </w:t>
      </w:r>
      <w:r w:rsidR="001865E0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de 2022</w:t>
      </w:r>
    </w:p>
    <w:p w14:paraId="508B4660" w14:textId="77777777" w:rsidR="00C12052" w:rsidRDefault="00C12052" w:rsidP="001B0A7F">
      <w:pPr>
        <w:spacing w:after="0"/>
        <w:jc w:val="both"/>
      </w:pPr>
      <w:r>
        <w:t xml:space="preserve">Respetados Padres de Familia: </w:t>
      </w:r>
    </w:p>
    <w:p w14:paraId="0A17A4F3" w14:textId="77777777" w:rsidR="00C12052" w:rsidRDefault="00C12052" w:rsidP="001B0A7F">
      <w:pPr>
        <w:spacing w:after="0"/>
        <w:jc w:val="both"/>
      </w:pPr>
      <w:r>
        <w:t>Reciban mi cordial, atento y respetuoso saludo</w:t>
      </w:r>
    </w:p>
    <w:p w14:paraId="481FAA1C" w14:textId="77777777" w:rsidR="00C12052" w:rsidRDefault="00C12052" w:rsidP="001B0A7F">
      <w:pPr>
        <w:spacing w:after="0"/>
        <w:jc w:val="both"/>
      </w:pPr>
    </w:p>
    <w:p w14:paraId="01CDD7FB" w14:textId="77777777" w:rsidR="00FA10BB" w:rsidRDefault="00C12052" w:rsidP="001B0A7F">
      <w:pPr>
        <w:spacing w:after="0"/>
        <w:jc w:val="both"/>
      </w:pPr>
      <w:r>
        <w:t>Con la presente circular me permito informales la</w:t>
      </w:r>
      <w:r w:rsidRPr="00C12052">
        <w:t xml:space="preserve"> </w:t>
      </w:r>
      <w:r>
        <w:t>asignación de los costos educativos para el año 2023 y el proceso de matrículas para los estudiantes antiguos y nuevos.</w:t>
      </w:r>
    </w:p>
    <w:p w14:paraId="50E36990" w14:textId="77777777" w:rsidR="00C12052" w:rsidRDefault="00C12052" w:rsidP="001B0A7F">
      <w:pPr>
        <w:spacing w:after="0"/>
        <w:jc w:val="both"/>
      </w:pPr>
      <w:r>
        <w:t>TARIFAS EDUCATIVAS AÑO 2023</w:t>
      </w:r>
    </w:p>
    <w:p w14:paraId="3F5587B1" w14:textId="77777777" w:rsidR="00C12052" w:rsidRDefault="00C12052" w:rsidP="001B0A7F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t>Acatando la Resolución del Ministerio de Educación Nacional No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20310  del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14 de 2022 “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Por la cual se establecen los parámetros para la fijación de las tarifas de matrícula, pensiones y materiales educativos del servicio de educación preescolar, básica y media prestado por los establecimientos educativos de carácter privado para el año escolar que inicia en el 2023</w:t>
      </w:r>
      <w:r w:rsidR="00DE32CE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.</w:t>
      </w:r>
    </w:p>
    <w:p w14:paraId="4F435BA1" w14:textId="77777777" w:rsidR="00DE32CE" w:rsidRDefault="00DE32CE" w:rsidP="001B0A7F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t xml:space="preserve">El Régimen de Matrícula y Pensiones en el que se encuentre clasificado el establecimiento educativo de acuerdo con lo dispuesto en el Decreto 1075 de 2015 en </w:t>
      </w:r>
      <w:proofErr w:type="gramStart"/>
      <w:r>
        <w:t>nuestro  caso</w:t>
      </w:r>
      <w:proofErr w:type="gramEnd"/>
      <w:r>
        <w:t xml:space="preserve">  la institución  se encuentra   en   </w:t>
      </w:r>
      <w:proofErr w:type="spellStart"/>
      <w:r>
        <w:t>Regimen</w:t>
      </w:r>
      <w:proofErr w:type="spellEnd"/>
      <w:r>
        <w:t xml:space="preserve">  Vigilado.</w:t>
      </w:r>
    </w:p>
    <w:p w14:paraId="661F1085" w14:textId="77777777" w:rsidR="00771183" w:rsidRDefault="00771183" w:rsidP="001B0A7F">
      <w:pPr>
        <w:spacing w:after="0"/>
        <w:jc w:val="both"/>
      </w:pPr>
    </w:p>
    <w:p w14:paraId="50C9A0C5" w14:textId="77777777" w:rsidR="00DE32CE" w:rsidRDefault="00DE32CE" w:rsidP="001B0A7F">
      <w:pPr>
        <w:spacing w:after="0"/>
        <w:jc w:val="both"/>
      </w:pPr>
      <w:proofErr w:type="gramStart"/>
      <w:r>
        <w:t>Los  establecimientos</w:t>
      </w:r>
      <w:proofErr w:type="gramEnd"/>
      <w:r>
        <w:t xml:space="preserve"> de  educación  básica y  media de  adultos  CLEI,  se  les  autoriza un  incremento del 10%  sin  superar    dicho  monto.</w:t>
      </w:r>
    </w:p>
    <w:p w14:paraId="62299954" w14:textId="77777777" w:rsidR="00DE32CE" w:rsidRDefault="00DE32CE" w:rsidP="001B0A7F">
      <w:pPr>
        <w:spacing w:after="0"/>
        <w:jc w:val="both"/>
      </w:pPr>
      <w:r>
        <w:t xml:space="preserve">Teniendo </w:t>
      </w:r>
      <w:proofErr w:type="gramStart"/>
      <w:r>
        <w:t>en  cuenta</w:t>
      </w:r>
      <w:proofErr w:type="gramEnd"/>
      <w:r>
        <w:t xml:space="preserve"> las  tarifas  aprobadas por  el  consejo  directivo, para el  año 2023  son las  siguientes:</w:t>
      </w:r>
    </w:p>
    <w:p w14:paraId="70EC1DB4" w14:textId="77777777" w:rsidR="00FA10BB" w:rsidRDefault="00FA10BB" w:rsidP="001B0A7F">
      <w:pPr>
        <w:spacing w:after="0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0A3A84" w14:paraId="00841FCF" w14:textId="77777777" w:rsidTr="009B115C">
        <w:tc>
          <w:tcPr>
            <w:tcW w:w="2773" w:type="dxa"/>
          </w:tcPr>
          <w:p w14:paraId="2D3C7BB3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</w:t>
            </w:r>
            <w:r w:rsidRPr="00085E68">
              <w:rPr>
                <w:b/>
                <w:noProof/>
                <w:lang w:eastAsia="es-ES"/>
              </w:rPr>
              <w:t xml:space="preserve"> III</w:t>
            </w:r>
          </w:p>
        </w:tc>
        <w:tc>
          <w:tcPr>
            <w:tcW w:w="2881" w:type="dxa"/>
          </w:tcPr>
          <w:p w14:paraId="04625EDE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2882" w:type="dxa"/>
          </w:tcPr>
          <w:p w14:paraId="4CDE2026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14:paraId="2FE386D0" w14:textId="77777777" w:rsidTr="009B115C">
        <w:tc>
          <w:tcPr>
            <w:tcW w:w="2773" w:type="dxa"/>
          </w:tcPr>
          <w:p w14:paraId="67C4FF0B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Sexto – Sèptimo </w:t>
            </w:r>
          </w:p>
        </w:tc>
        <w:tc>
          <w:tcPr>
            <w:tcW w:w="2881" w:type="dxa"/>
          </w:tcPr>
          <w:p w14:paraId="0B7947B4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$ </w:t>
            </w:r>
            <w:r w:rsidR="009879F6">
              <w:rPr>
                <w:noProof/>
                <w:lang w:eastAsia="es-ES"/>
              </w:rPr>
              <w:t>173.431</w:t>
            </w:r>
          </w:p>
        </w:tc>
        <w:tc>
          <w:tcPr>
            <w:tcW w:w="2882" w:type="dxa"/>
          </w:tcPr>
          <w:p w14:paraId="46C08940" w14:textId="77777777" w:rsidR="000A3A84" w:rsidRDefault="000A3A84" w:rsidP="009B115C">
            <w:pPr>
              <w:jc w:val="both"/>
            </w:pPr>
            <w:r>
              <w:rPr>
                <w:noProof/>
                <w:lang w:eastAsia="es-ES"/>
              </w:rPr>
              <w:t xml:space="preserve">$ </w:t>
            </w:r>
            <w:r>
              <w:t xml:space="preserve">1.173.431 </w:t>
            </w:r>
          </w:p>
          <w:p w14:paraId="635E3351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</w:tc>
      </w:tr>
    </w:tbl>
    <w:p w14:paraId="46B7B1FA" w14:textId="77777777" w:rsidR="000A3A84" w:rsidRDefault="000A3A84" w:rsidP="000A3A84">
      <w:pPr>
        <w:ind w:left="1080"/>
        <w:jc w:val="both"/>
        <w:rPr>
          <w:noProof/>
          <w:lang w:eastAsia="es-ES"/>
        </w:rPr>
      </w:pPr>
    </w:p>
    <w:p w14:paraId="1033AA8D" w14:textId="77777777" w:rsidR="000A3A84" w:rsidRDefault="000A3A84" w:rsidP="000A3A8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noProof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3367"/>
      </w:tblGrid>
      <w:tr w:rsidR="000A3A84" w14:paraId="7497B823" w14:textId="77777777" w:rsidTr="009B115C">
        <w:tc>
          <w:tcPr>
            <w:tcW w:w="2694" w:type="dxa"/>
          </w:tcPr>
          <w:p w14:paraId="292297D3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</w:t>
            </w:r>
            <w:r w:rsidRPr="00085E68">
              <w:rPr>
                <w:b/>
                <w:noProof/>
                <w:lang w:eastAsia="es-ES"/>
              </w:rPr>
              <w:t xml:space="preserve"> I</w:t>
            </w:r>
            <w:r>
              <w:rPr>
                <w:b/>
                <w:noProof/>
                <w:lang w:eastAsia="es-ES"/>
              </w:rPr>
              <w:t>V</w:t>
            </w:r>
          </w:p>
        </w:tc>
        <w:tc>
          <w:tcPr>
            <w:tcW w:w="2551" w:type="dxa"/>
          </w:tcPr>
          <w:p w14:paraId="2F2740C3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3367" w:type="dxa"/>
          </w:tcPr>
          <w:p w14:paraId="0FEC3AC8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14:paraId="2D429CAA" w14:textId="77777777" w:rsidTr="009B115C">
        <w:tc>
          <w:tcPr>
            <w:tcW w:w="2694" w:type="dxa"/>
          </w:tcPr>
          <w:p w14:paraId="7B7FFA5E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Octavo -Noveno </w:t>
            </w:r>
          </w:p>
        </w:tc>
        <w:tc>
          <w:tcPr>
            <w:tcW w:w="2551" w:type="dxa"/>
          </w:tcPr>
          <w:p w14:paraId="77B4D876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$173.431.</w:t>
            </w:r>
          </w:p>
        </w:tc>
        <w:tc>
          <w:tcPr>
            <w:tcW w:w="3367" w:type="dxa"/>
          </w:tcPr>
          <w:p w14:paraId="6FE131DB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>
              <w:t>1.173.431</w:t>
            </w:r>
          </w:p>
        </w:tc>
      </w:tr>
      <w:tr w:rsidR="000A3A84" w14:paraId="2D32E283" w14:textId="77777777" w:rsidTr="009B115C">
        <w:tc>
          <w:tcPr>
            <w:tcW w:w="2694" w:type="dxa"/>
          </w:tcPr>
          <w:p w14:paraId="6F80F435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 V</w:t>
            </w:r>
          </w:p>
        </w:tc>
        <w:tc>
          <w:tcPr>
            <w:tcW w:w="2551" w:type="dxa"/>
          </w:tcPr>
          <w:p w14:paraId="412575E9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3367" w:type="dxa"/>
          </w:tcPr>
          <w:p w14:paraId="552951C5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14:paraId="311555DC" w14:textId="77777777" w:rsidTr="009B115C">
        <w:tc>
          <w:tcPr>
            <w:tcW w:w="2694" w:type="dxa"/>
          </w:tcPr>
          <w:p w14:paraId="14287D4E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Dècimo </w:t>
            </w:r>
          </w:p>
        </w:tc>
        <w:tc>
          <w:tcPr>
            <w:tcW w:w="2551" w:type="dxa"/>
          </w:tcPr>
          <w:p w14:paraId="705BD846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165.172</w:t>
            </w:r>
          </w:p>
          <w:p w14:paraId="0E84E573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  <w:p w14:paraId="1B633589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</w:tc>
        <w:tc>
          <w:tcPr>
            <w:tcW w:w="3367" w:type="dxa"/>
          </w:tcPr>
          <w:p w14:paraId="48098A8E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1.162.172</w:t>
            </w:r>
          </w:p>
        </w:tc>
      </w:tr>
      <w:tr w:rsidR="000A3A84" w14:paraId="7EEF77A3" w14:textId="77777777" w:rsidTr="009B115C">
        <w:tc>
          <w:tcPr>
            <w:tcW w:w="2694" w:type="dxa"/>
          </w:tcPr>
          <w:p w14:paraId="1A8B9E75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 VI</w:t>
            </w:r>
          </w:p>
        </w:tc>
        <w:tc>
          <w:tcPr>
            <w:tcW w:w="2551" w:type="dxa"/>
          </w:tcPr>
          <w:p w14:paraId="794AB78E" w14:textId="77777777" w:rsidR="000A3A84" w:rsidRDefault="000A3A84" w:rsidP="009B115C">
            <w:pPr>
              <w:jc w:val="both"/>
              <w:rPr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</w:t>
            </w:r>
            <w:r w:rsidRPr="0023650C">
              <w:rPr>
                <w:noProof/>
                <w:lang w:eastAsia="es-ES"/>
              </w:rPr>
              <w:t>n</w:t>
            </w:r>
          </w:p>
          <w:p w14:paraId="4270C69C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165.172</w:t>
            </w:r>
          </w:p>
        </w:tc>
        <w:tc>
          <w:tcPr>
            <w:tcW w:w="3367" w:type="dxa"/>
          </w:tcPr>
          <w:p w14:paraId="7B802A9B" w14:textId="77777777"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  <w:r>
              <w:rPr>
                <w:b/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1.162.172</w:t>
            </w:r>
          </w:p>
        </w:tc>
      </w:tr>
    </w:tbl>
    <w:p w14:paraId="43CDA7D1" w14:textId="77777777" w:rsidR="000A3A84" w:rsidRPr="00085E68" w:rsidRDefault="000A3A84" w:rsidP="000A3A84">
      <w:pPr>
        <w:pStyle w:val="Prrafodelista"/>
        <w:ind w:left="1440"/>
        <w:jc w:val="both"/>
        <w:rPr>
          <w:noProof/>
          <w:lang w:eastAsia="es-ES"/>
        </w:rPr>
      </w:pPr>
    </w:p>
    <w:p w14:paraId="43ABE3A7" w14:textId="77777777" w:rsidR="000A3A84" w:rsidRDefault="000A3A84" w:rsidP="000A3A84">
      <w:pPr>
        <w:jc w:val="both"/>
        <w:rPr>
          <w:b/>
        </w:rPr>
      </w:pPr>
      <w:r>
        <w:t xml:space="preserve">Los integrantes del Consejo Directivo </w:t>
      </w:r>
      <w:proofErr w:type="gramStart"/>
      <w:r w:rsidR="00DE32CE">
        <w:t xml:space="preserve">aprobaron </w:t>
      </w:r>
      <w:r>
        <w:t xml:space="preserve"> el</w:t>
      </w:r>
      <w:proofErr w:type="gramEnd"/>
      <w:r>
        <w:t xml:space="preserve"> valor de otros cobros por  </w:t>
      </w:r>
      <w:r w:rsidR="00297839">
        <w:rPr>
          <w:b/>
        </w:rPr>
        <w:t>NOVENTA</w:t>
      </w:r>
      <w:r w:rsidRPr="0048622A">
        <w:rPr>
          <w:b/>
        </w:rPr>
        <w:t xml:space="preserve"> Y </w:t>
      </w:r>
      <w:r>
        <w:rPr>
          <w:b/>
        </w:rPr>
        <w:t xml:space="preserve">CINCO </w:t>
      </w:r>
      <w:r w:rsidRPr="0048622A">
        <w:rPr>
          <w:b/>
        </w:rPr>
        <w:t xml:space="preserve">MIL CERO CUARENTA Y </w:t>
      </w:r>
      <w:r>
        <w:rPr>
          <w:b/>
        </w:rPr>
        <w:t>NUEVE</w:t>
      </w:r>
      <w:r w:rsidRPr="0048622A">
        <w:rPr>
          <w:b/>
        </w:rPr>
        <w:t xml:space="preserve"> PESOS</w:t>
      </w:r>
      <w:r>
        <w:rPr>
          <w:b/>
        </w:rPr>
        <w:t>.</w:t>
      </w:r>
      <w:r w:rsidR="00DE32CE">
        <w:rPr>
          <w:b/>
        </w:rPr>
        <w:t>(todo  queda   estipulado  en el manual de  convivencia)</w:t>
      </w:r>
    </w:p>
    <w:p w14:paraId="344958A2" w14:textId="77777777" w:rsidR="000A3A84" w:rsidRDefault="000A3A84" w:rsidP="000A3A84">
      <w:pPr>
        <w:jc w:val="both"/>
        <w:rPr>
          <w:b/>
        </w:rPr>
      </w:pPr>
      <w:r>
        <w:rPr>
          <w:b/>
        </w:rPr>
        <w:t xml:space="preserve">A continuación se presenta el valor de otros </w:t>
      </w:r>
      <w:proofErr w:type="gramStart"/>
      <w:r>
        <w:rPr>
          <w:b/>
        </w:rPr>
        <w:t>cobros  tanto</w:t>
      </w:r>
      <w:proofErr w:type="gramEnd"/>
      <w:r>
        <w:rPr>
          <w:b/>
        </w:rPr>
        <w:t xml:space="preserve"> para el año 2022 y el valor propuesto para el año 2023 especificando los conceptos que lo componen.</w:t>
      </w:r>
    </w:p>
    <w:tbl>
      <w:tblPr>
        <w:tblW w:w="861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410"/>
        <w:gridCol w:w="1389"/>
        <w:gridCol w:w="1389"/>
        <w:gridCol w:w="1103"/>
        <w:gridCol w:w="883"/>
      </w:tblGrid>
      <w:tr w:rsidR="000A3A84" w14:paraId="3EE09AEB" w14:textId="77777777" w:rsidTr="004C3BA6">
        <w:trPr>
          <w:trHeight w:val="412"/>
        </w:trPr>
        <w:tc>
          <w:tcPr>
            <w:tcW w:w="1790" w:type="dxa"/>
          </w:tcPr>
          <w:p w14:paraId="7CDA05F5" w14:textId="77777777" w:rsidR="000A3A84" w:rsidRDefault="000A3A84" w:rsidP="009B115C">
            <w:pPr>
              <w:ind w:left="108"/>
              <w:jc w:val="both"/>
              <w:rPr>
                <w:b/>
              </w:rPr>
            </w:pPr>
          </w:p>
        </w:tc>
        <w:tc>
          <w:tcPr>
            <w:tcW w:w="1526" w:type="dxa"/>
          </w:tcPr>
          <w:p w14:paraId="5323704E" w14:textId="77777777"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24" w:type="dxa"/>
          </w:tcPr>
          <w:p w14:paraId="1198342F" w14:textId="77777777"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24" w:type="dxa"/>
          </w:tcPr>
          <w:p w14:paraId="1716AC5E" w14:textId="77777777"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7" w:type="dxa"/>
          </w:tcPr>
          <w:p w14:paraId="5BDF5BF4" w14:textId="77777777"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17" w:type="dxa"/>
          </w:tcPr>
          <w:p w14:paraId="22D77643" w14:textId="77777777" w:rsidR="000A3A84" w:rsidRDefault="000A3A84" w:rsidP="009B115C">
            <w:pPr>
              <w:ind w:left="108"/>
              <w:jc w:val="both"/>
              <w:rPr>
                <w:b/>
              </w:rPr>
            </w:pPr>
          </w:p>
        </w:tc>
      </w:tr>
      <w:tr w:rsidR="004C3BA6" w:rsidRPr="004C3BA6" w14:paraId="2FA02913" w14:textId="77777777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426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>Certificaciones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49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9.500 </w:t>
            </w:r>
          </w:p>
          <w:p w14:paraId="1BFACC40" w14:textId="77777777" w:rsidR="004C3BA6" w:rsidRPr="004C3BA6" w:rsidRDefault="004C3BA6" w:rsidP="004C3BA6">
            <w:pPr>
              <w:pStyle w:val="Default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2E5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10.500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E9E" w14:textId="77777777" w:rsidR="004C3BA6" w:rsidRPr="004C3BA6" w:rsidRDefault="004C3BA6" w:rsidP="004C3BA6">
            <w:pPr>
              <w:pStyle w:val="Default"/>
              <w:jc w:val="both"/>
            </w:pPr>
            <w:r>
              <w:t>11.000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DF5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>11.550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937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14:paraId="55B6F157" w14:textId="77777777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C6E" w14:textId="1FA0FD35" w:rsidR="004C3BA6" w:rsidRPr="004C3BA6" w:rsidRDefault="004C3BA6" w:rsidP="004C3BA6">
            <w:pPr>
              <w:pStyle w:val="Default"/>
              <w:jc w:val="both"/>
            </w:pPr>
            <w:proofErr w:type="spellStart"/>
            <w:r w:rsidRPr="004C3BA6">
              <w:lastRenderedPageBreak/>
              <w:t>Carné</w:t>
            </w:r>
            <w:r w:rsidR="00682F31">
              <w:t>t</w:t>
            </w:r>
            <w:proofErr w:type="spellEnd"/>
            <w:r w:rsidRPr="004C3BA6">
              <w:t>¨</w:t>
            </w:r>
            <w:r w:rsidR="00E21139">
              <w:t>(voluntario)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938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>9.000</w:t>
            </w:r>
          </w:p>
          <w:p w14:paraId="0B808191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3D8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10.100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9D7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54CF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50</w:t>
            </w:r>
            <w:r w:rsidRPr="004C3BA6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2E3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14:paraId="3B20F67B" w14:textId="77777777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D41" w14:textId="6B154BBC"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Grado de </w:t>
            </w:r>
            <w:proofErr w:type="gramStart"/>
            <w:r w:rsidRPr="004C3BA6">
              <w:t>bachiller</w:t>
            </w:r>
            <w:r w:rsidR="00E21139">
              <w:t>(</w:t>
            </w:r>
            <w:proofErr w:type="gramEnd"/>
            <w:r w:rsidR="00E21139">
              <w:t>diploma, acta  y  porta diploma)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0F8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120.000 </w:t>
            </w:r>
          </w:p>
          <w:p w14:paraId="0B04BBB0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080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128.800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5DD" w14:textId="77777777"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134.540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778C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141.168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DDE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14:paraId="3003B3BF" w14:textId="77777777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570" w14:textId="087AEAB9" w:rsidR="004C3BA6" w:rsidRPr="004C3BA6" w:rsidRDefault="004C3BA6" w:rsidP="004C3BA6">
            <w:pPr>
              <w:pStyle w:val="Default"/>
              <w:jc w:val="both"/>
            </w:pPr>
            <w:r w:rsidRPr="004C3BA6">
              <w:rPr>
                <w:b/>
                <w:bCs/>
              </w:rPr>
              <w:t xml:space="preserve">Certificado </w:t>
            </w:r>
            <w:proofErr w:type="gramStart"/>
            <w:r w:rsidRPr="004C3BA6">
              <w:rPr>
                <w:b/>
                <w:bCs/>
              </w:rPr>
              <w:t>de  bachiller</w:t>
            </w:r>
            <w:proofErr w:type="gramEnd"/>
            <w:r w:rsidRPr="004C3BA6">
              <w:rPr>
                <w:b/>
                <w:bCs/>
              </w:rPr>
              <w:t xml:space="preserve">  básico </w:t>
            </w:r>
            <w:r w:rsidR="00E21139">
              <w:rPr>
                <w:b/>
                <w:bCs/>
              </w:rPr>
              <w:t>(voluntario)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1D6" w14:textId="77777777"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55.000 </w:t>
            </w:r>
          </w:p>
          <w:p w14:paraId="6707EB29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DBB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58.800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FBF" w14:textId="77777777"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61.804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90CC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63.800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6DB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14:paraId="41B3F5FF" w14:textId="77777777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51B" w14:textId="7BE2D145" w:rsidR="004C3BA6" w:rsidRPr="004C3BA6" w:rsidRDefault="00E21139" w:rsidP="004C3BA6">
            <w:pPr>
              <w:pStyle w:val="Default"/>
              <w:jc w:val="both"/>
            </w:pPr>
            <w:r w:rsidRPr="004C3BA6">
              <w:t>P</w:t>
            </w:r>
            <w:r w:rsidR="00682F31" w:rsidRPr="004C3BA6">
              <w:t>apelería</w:t>
            </w:r>
            <w:r>
              <w:t>(voluntario)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190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30.000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FFE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40.000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355" w14:textId="77777777"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C87A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50.000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691" w14:textId="77777777"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</w:tbl>
    <w:p w14:paraId="2FF11200" w14:textId="77777777" w:rsidR="000A3A84" w:rsidRPr="004C3BA6" w:rsidRDefault="000A3A84" w:rsidP="000A3A84">
      <w:pPr>
        <w:jc w:val="both"/>
        <w:rPr>
          <w:b/>
          <w:sz w:val="24"/>
          <w:szCs w:val="24"/>
        </w:rPr>
      </w:pPr>
    </w:p>
    <w:p w14:paraId="4E4C6616" w14:textId="77777777" w:rsidR="000A3A84" w:rsidRDefault="000A3A84" w:rsidP="000A3A84">
      <w:pPr>
        <w:jc w:val="both"/>
      </w:pPr>
      <w:r w:rsidRPr="00EF5C06">
        <w:t>Así mismo el Consejo</w:t>
      </w:r>
      <w:r>
        <w:t xml:space="preserve"> Directivo define y adopta la siguiente información que se debe anexar al Manual de Convivencia.</w:t>
      </w:r>
    </w:p>
    <w:p w14:paraId="63F53CE5" w14:textId="77777777" w:rsidR="000A3A84" w:rsidRDefault="000A3A84" w:rsidP="000A3A84">
      <w:pPr>
        <w:pStyle w:val="Prrafodelista"/>
        <w:ind w:left="1440"/>
        <w:jc w:val="both"/>
        <w:rPr>
          <w:b/>
        </w:rPr>
      </w:pPr>
    </w:p>
    <w:p w14:paraId="522E1467" w14:textId="77777777" w:rsidR="000A3A84" w:rsidRPr="00EB437B" w:rsidRDefault="000A3A84" w:rsidP="000A3A84">
      <w:pPr>
        <w:pStyle w:val="Prrafodelista"/>
        <w:numPr>
          <w:ilvl w:val="0"/>
          <w:numId w:val="6"/>
        </w:numPr>
        <w:spacing w:after="200" w:line="276" w:lineRule="auto"/>
        <w:ind w:left="720"/>
        <w:jc w:val="both"/>
        <w:rPr>
          <w:b/>
        </w:rPr>
      </w:pPr>
      <w:r>
        <w:t>el Consejo Directivo aprueb</w:t>
      </w:r>
      <w:r w:rsidR="00DE32CE">
        <w:t>o</w:t>
      </w:r>
      <w:r>
        <w:t xml:space="preserve"> </w:t>
      </w:r>
      <w:proofErr w:type="gramStart"/>
      <w:r w:rsidR="00DE32CE">
        <w:t>y  se</w:t>
      </w:r>
      <w:proofErr w:type="gramEnd"/>
      <w:r w:rsidR="00DE32CE">
        <w:t xml:space="preserve">  acogió  al  </w:t>
      </w:r>
      <w:r>
        <w:t xml:space="preserve"> AUMENTO   </w:t>
      </w:r>
      <w:r w:rsidR="00DE32CE">
        <w:t>del 10%</w:t>
      </w:r>
      <w:r>
        <w:t xml:space="preserve"> Con base en la revisión y verificación, de los  costos    que  se  vienen  cobrando(lo  anterior  es  porque no  hay  sostenibilidad   por parte  de la institución, además    los    alumnos  y o  acudientes  no  cumplen    con los pagos   por la  contraprestación del  servicio  mes  a mes,  no  se le   solicitan textos  escolares los costos de las evaluaciones  acumulativas  no  las  cancelan)   </w:t>
      </w:r>
    </w:p>
    <w:p w14:paraId="4CD18CE2" w14:textId="77777777" w:rsidR="000A3A84" w:rsidRPr="00EB437B" w:rsidRDefault="000A3A84" w:rsidP="000A3A84">
      <w:pPr>
        <w:pStyle w:val="Prrafodelista"/>
        <w:numPr>
          <w:ilvl w:val="0"/>
          <w:numId w:val="6"/>
        </w:numPr>
        <w:spacing w:after="200" w:line="276" w:lineRule="auto"/>
        <w:ind w:left="720"/>
        <w:jc w:val="both"/>
        <w:rPr>
          <w:b/>
        </w:rPr>
      </w:pPr>
      <w:r w:rsidRPr="00EB437B">
        <w:rPr>
          <w:b/>
        </w:rPr>
        <w:t>Varios</w:t>
      </w:r>
    </w:p>
    <w:p w14:paraId="1E168F4C" w14:textId="77777777" w:rsidR="000A3A84" w:rsidRDefault="000A3A84" w:rsidP="000A3A84">
      <w:pPr>
        <w:ind w:left="360"/>
        <w:jc w:val="both"/>
      </w:pPr>
      <w:r w:rsidRPr="005F147D">
        <w:t>Hora de finalización:</w:t>
      </w:r>
      <w:r w:rsidR="00DE32CE">
        <w:t>7</w:t>
      </w:r>
      <w:r w:rsidRPr="005F147D">
        <w:t>: 00 pm</w:t>
      </w:r>
    </w:p>
    <w:p w14:paraId="62841E3D" w14:textId="77777777" w:rsidR="000A3A84" w:rsidRDefault="000A3A84" w:rsidP="000A3A84">
      <w:pPr>
        <w:ind w:left="360"/>
        <w:jc w:val="both"/>
      </w:pPr>
      <w:r>
        <w:t>Rectora__</w:t>
      </w:r>
    </w:p>
    <w:p w14:paraId="0188FCE1" w14:textId="77777777" w:rsidR="000A3A84" w:rsidRDefault="000A3A84" w:rsidP="000A3A84">
      <w:pPr>
        <w:ind w:left="360"/>
        <w:jc w:val="both"/>
      </w:pPr>
      <w:proofErr w:type="gramStart"/>
      <w:r>
        <w:t>Director  Administrativo</w:t>
      </w:r>
      <w:proofErr w:type="gramEnd"/>
      <w:r>
        <w:t>___</w:t>
      </w:r>
    </w:p>
    <w:p w14:paraId="7F59FABB" w14:textId="77777777" w:rsidR="000A3A84" w:rsidRDefault="000A3A84" w:rsidP="000A3A84">
      <w:pPr>
        <w:ind w:left="360"/>
        <w:jc w:val="both"/>
      </w:pPr>
      <w:r>
        <w:t xml:space="preserve">Representante </w:t>
      </w:r>
      <w:proofErr w:type="gramStart"/>
      <w:r>
        <w:t>Sector  Productivo</w:t>
      </w:r>
      <w:proofErr w:type="gramEnd"/>
      <w:r>
        <w:t>__</w:t>
      </w:r>
    </w:p>
    <w:p w14:paraId="39F4E493" w14:textId="77777777" w:rsidR="000A3A84" w:rsidRDefault="000A3A84" w:rsidP="000A3A84">
      <w:pPr>
        <w:ind w:left="360"/>
        <w:jc w:val="both"/>
      </w:pPr>
      <w:r>
        <w:t xml:space="preserve">Representante </w:t>
      </w:r>
      <w:proofErr w:type="gramStart"/>
      <w:r>
        <w:t>de  docentes</w:t>
      </w:r>
      <w:proofErr w:type="gramEnd"/>
      <w:r>
        <w:t>__</w:t>
      </w:r>
    </w:p>
    <w:p w14:paraId="02F1BE89" w14:textId="77777777" w:rsidR="000A3A84" w:rsidRDefault="000A3A84" w:rsidP="000A3A84">
      <w:pPr>
        <w:ind w:left="360"/>
        <w:jc w:val="both"/>
      </w:pPr>
      <w:proofErr w:type="gramStart"/>
      <w:r>
        <w:t>Represente  de</w:t>
      </w:r>
      <w:proofErr w:type="gramEnd"/>
      <w:r>
        <w:t xml:space="preserve">  estudiantes__</w:t>
      </w:r>
    </w:p>
    <w:p w14:paraId="0F274D2A" w14:textId="77777777" w:rsidR="000A3A84" w:rsidRDefault="000A3A84" w:rsidP="000A3A84">
      <w:pPr>
        <w:ind w:left="360"/>
        <w:jc w:val="both"/>
      </w:pPr>
      <w:r>
        <w:t>Representante de exalumnos__</w:t>
      </w:r>
    </w:p>
    <w:p w14:paraId="71C7EAFF" w14:textId="77777777" w:rsidR="000A3A84" w:rsidRDefault="000A3A84" w:rsidP="000A3A84">
      <w:pPr>
        <w:ind w:left="360"/>
        <w:jc w:val="both"/>
      </w:pPr>
      <w:r>
        <w:t>-.</w:t>
      </w:r>
    </w:p>
    <w:p w14:paraId="1D8F25F6" w14:textId="77777777" w:rsidR="000A3A84" w:rsidRDefault="000A3A84" w:rsidP="000A3A84">
      <w:pPr>
        <w:ind w:left="360"/>
        <w:jc w:val="both"/>
      </w:pPr>
    </w:p>
    <w:p w14:paraId="17B00272" w14:textId="77777777" w:rsidR="000A3A84" w:rsidRDefault="000A3A84" w:rsidP="000A3A84">
      <w:pPr>
        <w:ind w:left="360"/>
        <w:jc w:val="both"/>
      </w:pPr>
    </w:p>
    <w:p w14:paraId="565A8C1B" w14:textId="77777777" w:rsidR="000A3A84" w:rsidRDefault="000A3A84" w:rsidP="00D5611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noProof/>
          <w:lang w:eastAsia="es-ES"/>
        </w:rPr>
      </w:pPr>
    </w:p>
    <w:p w14:paraId="6ABDC697" w14:textId="77777777" w:rsidR="00D5611E" w:rsidRDefault="00D5611E" w:rsidP="00D5611E">
      <w:pPr>
        <w:pStyle w:val="Prrafodelista"/>
        <w:ind w:left="1440"/>
        <w:jc w:val="both"/>
        <w:rPr>
          <w:noProof/>
          <w:lang w:eastAsia="es-ES"/>
        </w:rPr>
      </w:pPr>
    </w:p>
    <w:p w14:paraId="0D788672" w14:textId="77777777" w:rsidR="00D5611E" w:rsidRDefault="00D5611E" w:rsidP="00FA10BB">
      <w:pPr>
        <w:jc w:val="both"/>
        <w:rPr>
          <w:noProof/>
          <w:lang w:eastAsia="es-ES"/>
        </w:rPr>
      </w:pPr>
    </w:p>
    <w:p w14:paraId="63CA72FE" w14:textId="77777777" w:rsidR="005F75B4" w:rsidRDefault="005F75B4" w:rsidP="001B0A7F">
      <w:pPr>
        <w:spacing w:after="0"/>
        <w:jc w:val="both"/>
      </w:pPr>
    </w:p>
    <w:p w14:paraId="68AA6139" w14:textId="77777777" w:rsidR="00FA10BB" w:rsidRDefault="00C16076" w:rsidP="001B0A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6B60B793" w14:textId="77777777" w:rsidR="00771183" w:rsidRPr="008E6CF9" w:rsidRDefault="00771183" w:rsidP="00771183">
      <w:pPr>
        <w:tabs>
          <w:tab w:val="left" w:pos="26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6F6382" w14:textId="77777777" w:rsidR="00771183" w:rsidRPr="008E6CF9" w:rsidRDefault="000C0D06" w:rsidP="007711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221D03F" wp14:editId="463EEB4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0CD3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C0D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D526A8" wp14:editId="6A3904BF">
            <wp:extent cx="2571750" cy="2019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5BA6" w14:textId="77777777" w:rsidR="00771183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6D4DDF05" w14:textId="77777777"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14:paraId="5F71BC59" w14:textId="77777777"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14:paraId="29539426" w14:textId="77777777"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14:paraId="06674C47" w14:textId="77777777"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14:paraId="43E5E46F" w14:textId="77777777" w:rsidR="004E459E" w:rsidRPr="008E6CF9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14:paraId="65794958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78FF98B2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0091DBCE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76AA1A1E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76B8D826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2C491AB9" w14:textId="77777777"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14:paraId="0B92FADC" w14:textId="77777777" w:rsidR="00771183" w:rsidRPr="008E6CF9" w:rsidRDefault="00771183" w:rsidP="007711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AE809F" w14:textId="77777777"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6CF9">
        <w:rPr>
          <w:rFonts w:ascii="Arial" w:hAnsi="Arial" w:cs="Arial"/>
          <w:sz w:val="24"/>
          <w:szCs w:val="24"/>
        </w:rPr>
        <w:t xml:space="preserve">,  </w:t>
      </w:r>
    </w:p>
    <w:p w14:paraId="61891E2A" w14:textId="77777777"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571942" w14:textId="77777777"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0D74F" w14:textId="77777777" w:rsidR="00771183" w:rsidRDefault="00771183" w:rsidP="0077118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000E5D7" w14:textId="77777777" w:rsidR="00771183" w:rsidRDefault="00771183" w:rsidP="001B0A7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D7E3191" w14:textId="77777777" w:rsidR="00771183" w:rsidRPr="00771183" w:rsidRDefault="00771183" w:rsidP="001B0A7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3D402D97" w14:textId="77777777" w:rsidR="000E6BDF" w:rsidRDefault="000E6BDF" w:rsidP="001B0A7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E6BDF" w:rsidSect="000C0D06">
      <w:headerReference w:type="default" r:id="rId9"/>
      <w:footerReference w:type="default" r:id="rId10"/>
      <w:pgSz w:w="12240" w:h="18720" w:code="258"/>
      <w:pgMar w:top="1162" w:right="616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7E66" w14:textId="77777777" w:rsidR="00EB4DAE" w:rsidRDefault="00EB4DAE" w:rsidP="007E059D">
      <w:pPr>
        <w:spacing w:after="0" w:line="240" w:lineRule="auto"/>
      </w:pPr>
      <w:r>
        <w:separator/>
      </w:r>
    </w:p>
  </w:endnote>
  <w:endnote w:type="continuationSeparator" w:id="0">
    <w:p w14:paraId="0ED60C7E" w14:textId="77777777" w:rsidR="00EB4DAE" w:rsidRDefault="00EB4DAE" w:rsidP="007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5" w:type="dxa"/>
      <w:tblInd w:w="-395" w:type="dxa"/>
      <w:tblLayout w:type="fixed"/>
      <w:tblLook w:val="04A0" w:firstRow="1" w:lastRow="0" w:firstColumn="1" w:lastColumn="0" w:noHBand="0" w:noVBand="1"/>
    </w:tblPr>
    <w:tblGrid>
      <w:gridCol w:w="1072"/>
      <w:gridCol w:w="1455"/>
      <w:gridCol w:w="961"/>
      <w:gridCol w:w="1406"/>
      <w:gridCol w:w="2249"/>
      <w:gridCol w:w="314"/>
      <w:gridCol w:w="3338"/>
    </w:tblGrid>
    <w:tr w:rsidR="00BB34A3" w14:paraId="1B6C616E" w14:textId="77777777" w:rsidTr="00BC40CF">
      <w:trPr>
        <w:trHeight w:val="156"/>
      </w:trPr>
      <w:tc>
        <w:tcPr>
          <w:tcW w:w="1072" w:type="dxa"/>
          <w:tcBorders>
            <w:top w:val="double" w:sz="4" w:space="0" w:color="auto"/>
          </w:tcBorders>
          <w:vAlign w:val="center"/>
        </w:tcPr>
        <w:p w14:paraId="1DD4AC03" w14:textId="77777777" w:rsidR="00BB34A3" w:rsidRDefault="00BB34A3" w:rsidP="00B10629">
          <w:pPr>
            <w:pStyle w:val="Piedepgina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396920A" wp14:editId="626D5682">
                <wp:extent cx="590550" cy="52260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" w:type="dxa"/>
          <w:tcBorders>
            <w:top w:val="double" w:sz="4" w:space="0" w:color="auto"/>
          </w:tcBorders>
          <w:vAlign w:val="center"/>
        </w:tcPr>
        <w:p w14:paraId="02D7BCA5" w14:textId="77777777" w:rsidR="00BB34A3" w:rsidRPr="001D7BFF" w:rsidRDefault="00BB34A3" w:rsidP="00B10629">
          <w:pPr>
            <w:pStyle w:val="Piedepgina"/>
            <w:jc w:val="center"/>
            <w:rPr>
              <w:b/>
            </w:rPr>
          </w:pPr>
          <w:r w:rsidRPr="001D7BFF">
            <w:rPr>
              <w:rFonts w:ascii="Gloucester MT Extra Condensed" w:hAnsi="Gloucester MT Extra Condensed"/>
            </w:rPr>
            <w:t xml:space="preserve">Tunja (Boyacá) Calle </w:t>
          </w:r>
          <w:r>
            <w:rPr>
              <w:rFonts w:ascii="Gloucester MT Extra Condensed" w:hAnsi="Gloucester MT Extra Condensed"/>
            </w:rPr>
            <w:t>23-</w:t>
          </w:r>
          <w:r w:rsidRPr="001D7BFF">
            <w:rPr>
              <w:rFonts w:ascii="Gloucester MT Extra Condensed" w:hAnsi="Gloucester MT Extra Condensed"/>
            </w:rPr>
            <w:t xml:space="preserve"> 9-</w:t>
          </w:r>
          <w:r>
            <w:rPr>
              <w:rFonts w:ascii="Gloucester MT Extra Condensed" w:hAnsi="Gloucester MT Extra Condensed"/>
            </w:rPr>
            <w:t xml:space="preserve">70 </w:t>
          </w:r>
          <w:r w:rsidRPr="001D7BFF">
            <w:rPr>
              <w:rFonts w:ascii="Gloucester MT Extra Condensed" w:hAnsi="Gloucester MT Extra Condensed"/>
            </w:rPr>
            <w:t>Centro Histórico</w:t>
          </w:r>
        </w:p>
      </w:tc>
      <w:tc>
        <w:tcPr>
          <w:tcW w:w="961" w:type="dxa"/>
          <w:tcBorders>
            <w:top w:val="double" w:sz="4" w:space="0" w:color="auto"/>
          </w:tcBorders>
          <w:vAlign w:val="center"/>
        </w:tcPr>
        <w:p w14:paraId="296CB958" w14:textId="77777777" w:rsidR="00BB34A3" w:rsidRDefault="00BB34A3" w:rsidP="00B10629">
          <w:pPr>
            <w:pStyle w:val="Piedepgina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79CA101" wp14:editId="6ED96CCA">
                <wp:extent cx="462915" cy="451485"/>
                <wp:effectExtent l="0" t="0" r="0" b="571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double" w:sz="4" w:space="0" w:color="auto"/>
          </w:tcBorders>
        </w:tcPr>
        <w:p w14:paraId="4B0F2FAD" w14:textId="77777777" w:rsidR="00BB34A3" w:rsidRPr="001D7BFF" w:rsidRDefault="00BB34A3" w:rsidP="00B10629">
          <w:pPr>
            <w:pStyle w:val="Piedepgina"/>
            <w:jc w:val="center"/>
            <w:rPr>
              <w:rFonts w:ascii="Gloucester MT Extra Condensed" w:hAnsi="Gloucester MT Extra Condensed"/>
            </w:rPr>
          </w:pPr>
          <w:r>
            <w:rPr>
              <w:rFonts w:ascii="Gloucester MT Extra Condensed" w:hAnsi="Gloucester MT Extra Condensed"/>
            </w:rPr>
            <w:t xml:space="preserve">Fijo: </w:t>
          </w:r>
          <w:r w:rsidRPr="001D7BFF">
            <w:rPr>
              <w:rFonts w:ascii="Gloucester MT Extra Condensed" w:hAnsi="Gloucester MT Extra Condensed"/>
            </w:rPr>
            <w:t xml:space="preserve"> 7436698</w:t>
          </w:r>
        </w:p>
        <w:p w14:paraId="20A4CE00" w14:textId="77777777" w:rsidR="00BB34A3" w:rsidRDefault="00BB34A3" w:rsidP="00B10629">
          <w:pPr>
            <w:pStyle w:val="Piedepgina"/>
            <w:jc w:val="center"/>
            <w:rPr>
              <w:rFonts w:ascii="Gloucester MT Extra Condensed" w:hAnsi="Gloucester MT Extra Condensed"/>
            </w:rPr>
          </w:pPr>
        </w:p>
      </w:tc>
      <w:tc>
        <w:tcPr>
          <w:tcW w:w="2249" w:type="dxa"/>
          <w:tcBorders>
            <w:top w:val="double" w:sz="4" w:space="0" w:color="auto"/>
          </w:tcBorders>
          <w:vAlign w:val="center"/>
        </w:tcPr>
        <w:p w14:paraId="6D7F9AC8" w14:textId="77777777" w:rsidR="00BB34A3" w:rsidRDefault="00BB34A3" w:rsidP="00B10629">
          <w:pPr>
            <w:pStyle w:val="Piedepgina"/>
            <w:jc w:val="center"/>
          </w:pPr>
          <w:r w:rsidRPr="001D7BFF">
            <w:rPr>
              <w:rFonts w:ascii="Gloucester MT Extra Condensed" w:hAnsi="Gloucester MT Extra Condensed"/>
            </w:rPr>
            <w:t xml:space="preserve">Celular: </w:t>
          </w:r>
          <w:r>
            <w:rPr>
              <w:rFonts w:ascii="Gloucester MT Extra Condensed" w:hAnsi="Gloucester MT Extra Condensed"/>
            </w:rPr>
            <w:t>3157779819-   3022768976</w:t>
          </w:r>
        </w:p>
      </w:tc>
      <w:tc>
        <w:tcPr>
          <w:tcW w:w="314" w:type="dxa"/>
          <w:tcBorders>
            <w:top w:val="double" w:sz="4" w:space="0" w:color="auto"/>
          </w:tcBorders>
          <w:vAlign w:val="center"/>
        </w:tcPr>
        <w:p w14:paraId="5361E11E" w14:textId="77777777" w:rsidR="00BB34A3" w:rsidRDefault="00BB34A3" w:rsidP="00B10629">
          <w:pPr>
            <w:pStyle w:val="Piedepgina"/>
            <w:ind w:hanging="216"/>
            <w:jc w:val="center"/>
          </w:pPr>
        </w:p>
      </w:tc>
      <w:tc>
        <w:tcPr>
          <w:tcW w:w="3338" w:type="dxa"/>
          <w:tcBorders>
            <w:top w:val="double" w:sz="4" w:space="0" w:color="auto"/>
          </w:tcBorders>
          <w:vAlign w:val="center"/>
        </w:tcPr>
        <w:p w14:paraId="6D061C7B" w14:textId="77777777" w:rsidR="00BB34A3" w:rsidRDefault="00000000" w:rsidP="00B10629">
          <w:pPr>
            <w:pStyle w:val="Piedepgina"/>
            <w:jc w:val="center"/>
            <w:rPr>
              <w:rFonts w:ascii="Gloucester MT Extra Condensed" w:hAnsi="Gloucester MT Extra Condensed"/>
              <w:sz w:val="32"/>
            </w:rPr>
          </w:pPr>
          <w:hyperlink r:id="rId3" w:history="1">
            <w:r w:rsidR="00BB34A3" w:rsidRPr="00BF4D0E">
              <w:rPr>
                <w:rStyle w:val="Hipervnculo"/>
                <w:rFonts w:ascii="Gloucester MT Extra Condensed" w:hAnsi="Gloucester MT Extra Condensed"/>
                <w:sz w:val="32"/>
              </w:rPr>
              <w:t>sanagustinintet@gmail.com</w:t>
            </w:r>
          </w:hyperlink>
        </w:p>
        <w:p w14:paraId="1E7F79B2" w14:textId="77777777" w:rsidR="00BB34A3" w:rsidRPr="001D7BFF" w:rsidRDefault="00BB34A3" w:rsidP="00B10629">
          <w:pPr>
            <w:pStyle w:val="Piedepgina"/>
            <w:ind w:right="-146"/>
            <w:jc w:val="center"/>
            <w:rPr>
              <w:rFonts w:ascii="Gloucester MT Extra Condensed" w:hAnsi="Gloucester MT Extra Condensed"/>
            </w:rPr>
          </w:pPr>
          <w:r>
            <w:rPr>
              <w:rFonts w:ascii="Gloucester MT Extra Condensed" w:hAnsi="Gloucester MT Extra Condensed"/>
              <w:sz w:val="32"/>
            </w:rPr>
            <w:t>colegiointegrallosandes</w:t>
          </w:r>
          <w:r w:rsidRPr="00E13117">
            <w:rPr>
              <w:rFonts w:ascii="Gloucester MT Extra Condensed" w:hAnsi="Gloucester MT Extra Condensed"/>
              <w:sz w:val="32"/>
            </w:rPr>
            <w:t>@</w:t>
          </w:r>
          <w:r>
            <w:rPr>
              <w:rFonts w:ascii="Gloucester MT Extra Condensed" w:hAnsi="Gloucester MT Extra Condensed"/>
              <w:sz w:val="32"/>
            </w:rPr>
            <w:t>gmail.com</w:t>
          </w:r>
        </w:p>
      </w:tc>
    </w:tr>
  </w:tbl>
  <w:p w14:paraId="27E2828B" w14:textId="77777777" w:rsidR="00BB34A3" w:rsidRDefault="00BB3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0471" w14:textId="77777777" w:rsidR="00EB4DAE" w:rsidRDefault="00EB4DAE" w:rsidP="007E059D">
      <w:pPr>
        <w:spacing w:after="0" w:line="240" w:lineRule="auto"/>
      </w:pPr>
      <w:r>
        <w:separator/>
      </w:r>
    </w:p>
  </w:footnote>
  <w:footnote w:type="continuationSeparator" w:id="0">
    <w:p w14:paraId="74513B82" w14:textId="77777777" w:rsidR="00EB4DAE" w:rsidRDefault="00EB4DAE" w:rsidP="007E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84" w:type="dxa"/>
      <w:tblLayout w:type="fixed"/>
      <w:tblLook w:val="04A0" w:firstRow="1" w:lastRow="0" w:firstColumn="1" w:lastColumn="0" w:noHBand="0" w:noVBand="1"/>
    </w:tblPr>
    <w:tblGrid>
      <w:gridCol w:w="2778"/>
      <w:gridCol w:w="8343"/>
    </w:tblGrid>
    <w:tr w:rsidR="00BB34A3" w:rsidRPr="001D7BFF" w14:paraId="6EA5DE06" w14:textId="77777777" w:rsidTr="000E6BDF">
      <w:trPr>
        <w:trHeight w:val="1610"/>
      </w:trPr>
      <w:tc>
        <w:tcPr>
          <w:tcW w:w="2778" w:type="dxa"/>
        </w:tcPr>
        <w:p w14:paraId="7074DCF1" w14:textId="77777777" w:rsidR="00BB34A3" w:rsidRDefault="00BB34A3" w:rsidP="007E059D">
          <w:pPr>
            <w:pStyle w:val="Encabezado"/>
            <w:tabs>
              <w:tab w:val="left" w:pos="-378"/>
              <w:tab w:val="left" w:pos="1182"/>
              <w:tab w:val="center" w:pos="3875"/>
            </w:tabs>
            <w:ind w:left="-2518"/>
            <w:jc w:val="right"/>
          </w:pPr>
          <w:bookmarkStart w:id="0" w:name="_Hlk101346169"/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F91459A" wp14:editId="33281411">
                <wp:simplePos x="0" y="0"/>
                <wp:positionH relativeFrom="column">
                  <wp:posOffset>1009015</wp:posOffset>
                </wp:positionH>
                <wp:positionV relativeFrom="paragraph">
                  <wp:posOffset>390525</wp:posOffset>
                </wp:positionV>
                <wp:extent cx="533066" cy="423863"/>
                <wp:effectExtent l="0" t="0" r="635" b="0"/>
                <wp:wrapTight wrapText="bothSides">
                  <wp:wrapPolygon edited="0">
                    <wp:start x="0" y="0"/>
                    <wp:lineTo x="0" y="20402"/>
                    <wp:lineTo x="20853" y="20402"/>
                    <wp:lineTo x="20853" y="0"/>
                    <wp:lineTo x="0" y="0"/>
                  </wp:wrapPolygon>
                </wp:wrapTight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egio integral de los andes FINAL FINAL-0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08" t="31126" r="13208" b="32959"/>
                        <a:stretch/>
                      </pic:blipFill>
                      <pic:spPr bwMode="auto">
                        <a:xfrm>
                          <a:off x="0" y="0"/>
                          <a:ext cx="533066" cy="423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43" w:type="dxa"/>
          <w:vAlign w:val="center"/>
        </w:tcPr>
        <w:p w14:paraId="4E4D0B2D" w14:textId="77777777" w:rsidR="00BB34A3" w:rsidRPr="001D7BFF" w:rsidRDefault="00BB34A3" w:rsidP="007E059D">
          <w:pPr>
            <w:pStyle w:val="Encabezado"/>
            <w:ind w:left="-2518"/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 xml:space="preserve">             </w:t>
          </w:r>
          <w:r w:rsidRPr="001D7BFF">
            <w:rPr>
              <w:b/>
              <w:sz w:val="34"/>
              <w:szCs w:val="34"/>
            </w:rPr>
            <w:t>República de Colombia</w:t>
          </w:r>
        </w:p>
        <w:p w14:paraId="7CB2A079" w14:textId="77777777" w:rsidR="00BB34A3" w:rsidRPr="001D7BFF" w:rsidRDefault="00BB34A3" w:rsidP="007E059D">
          <w:pPr>
            <w:pStyle w:val="Encabezado"/>
            <w:ind w:left="-2518"/>
            <w:jc w:val="center"/>
            <w:rPr>
              <w:b/>
            </w:rPr>
          </w:pPr>
          <w:r>
            <w:rPr>
              <w:b/>
            </w:rPr>
            <w:t xml:space="preserve">                     </w:t>
          </w:r>
          <w:r w:rsidRPr="001D7BFF">
            <w:rPr>
              <w:b/>
            </w:rPr>
            <w:t>Secretaría de Educación de Tunja</w:t>
          </w:r>
        </w:p>
        <w:p w14:paraId="6BC34E12" w14:textId="77777777"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b/>
              <w:smallCaps/>
              <w:sz w:val="48"/>
            </w:rPr>
          </w:pPr>
          <w:r>
            <w:rPr>
              <w:rFonts w:ascii="Franklin Gothic Medium Cond" w:hAnsi="Franklin Gothic Medium Cond"/>
              <w:b/>
              <w:smallCaps/>
              <w:sz w:val="48"/>
            </w:rPr>
            <w:t xml:space="preserve">CO     </w:t>
          </w:r>
          <w:proofErr w:type="gramStart"/>
          <w:r>
            <w:rPr>
              <w:rFonts w:ascii="Franklin Gothic Medium Cond" w:hAnsi="Franklin Gothic Medium Cond"/>
              <w:b/>
              <w:smallCaps/>
              <w:sz w:val="48"/>
            </w:rPr>
            <w:t>COLEGIO  INTEGRAL</w:t>
          </w:r>
          <w:proofErr w:type="gramEnd"/>
          <w:r>
            <w:rPr>
              <w:rFonts w:ascii="Franklin Gothic Medium Cond" w:hAnsi="Franklin Gothic Medium Cond"/>
              <w:b/>
              <w:smallCaps/>
              <w:sz w:val="48"/>
            </w:rPr>
            <w:t xml:space="preserve"> DE LOS  ANDES</w:t>
          </w:r>
        </w:p>
        <w:p w14:paraId="3E96FC27" w14:textId="77777777"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</w:rPr>
          </w:pPr>
          <w:r>
            <w:rPr>
              <w:rFonts w:ascii="Franklin Gothic Medium Cond" w:hAnsi="Franklin Gothic Medium Cond"/>
            </w:rPr>
            <w:t xml:space="preserve">                        </w:t>
          </w:r>
          <w:r w:rsidRPr="001D7BFF">
            <w:rPr>
              <w:rFonts w:ascii="Franklin Gothic Medium Cond" w:hAnsi="Franklin Gothic Medium Cond"/>
            </w:rPr>
            <w:t>NIT.: 23854856-6</w:t>
          </w:r>
        </w:p>
        <w:p w14:paraId="4154487F" w14:textId="77777777" w:rsidR="00BB34A3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Resolución No 037 del 26 de enero de 2006</w:t>
          </w:r>
          <w:r>
            <w:rPr>
              <w:rFonts w:ascii="Franklin Gothic Medium Cond" w:hAnsi="Franklin Gothic Medium Cond"/>
              <w:sz w:val="18"/>
              <w:szCs w:val="18"/>
            </w:rPr>
            <w:t xml:space="preserve">    </w:t>
          </w:r>
        </w:p>
        <w:p w14:paraId="596E124B" w14:textId="77777777"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Icfes126870</w:t>
          </w:r>
        </w:p>
        <w:p w14:paraId="6EC09F22" w14:textId="77777777" w:rsidR="00BB34A3" w:rsidRPr="001D7BFF" w:rsidRDefault="00BB34A3" w:rsidP="007E059D">
          <w:pPr>
            <w:pStyle w:val="Encabezado"/>
            <w:ind w:left="-2518"/>
            <w:jc w:val="center"/>
            <w:rPr>
              <w:b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PEI-150013406081</w:t>
          </w:r>
        </w:p>
      </w:tc>
    </w:tr>
    <w:bookmarkEnd w:id="0"/>
  </w:tbl>
  <w:p w14:paraId="6C4383FD" w14:textId="77777777" w:rsidR="00BB34A3" w:rsidRDefault="00BB34A3" w:rsidP="00562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AA1"/>
    <w:multiLevelType w:val="hybridMultilevel"/>
    <w:tmpl w:val="3A8695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D5EC4"/>
    <w:multiLevelType w:val="hybridMultilevel"/>
    <w:tmpl w:val="80C0E9E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14DB"/>
    <w:multiLevelType w:val="hybridMultilevel"/>
    <w:tmpl w:val="B99C4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765A"/>
    <w:multiLevelType w:val="hybridMultilevel"/>
    <w:tmpl w:val="8904CBA4"/>
    <w:lvl w:ilvl="0" w:tplc="F9F244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434AF"/>
    <w:multiLevelType w:val="hybridMultilevel"/>
    <w:tmpl w:val="FF9810D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F28BD"/>
    <w:multiLevelType w:val="hybridMultilevel"/>
    <w:tmpl w:val="37DEC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3131"/>
    <w:multiLevelType w:val="hybridMultilevel"/>
    <w:tmpl w:val="22404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2202"/>
    <w:multiLevelType w:val="hybridMultilevel"/>
    <w:tmpl w:val="B17205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3124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487941">
    <w:abstractNumId w:val="3"/>
  </w:num>
  <w:num w:numId="3" w16cid:durableId="2019229772">
    <w:abstractNumId w:val="5"/>
  </w:num>
  <w:num w:numId="4" w16cid:durableId="2056195089">
    <w:abstractNumId w:val="6"/>
  </w:num>
  <w:num w:numId="5" w16cid:durableId="1714383651">
    <w:abstractNumId w:val="4"/>
  </w:num>
  <w:num w:numId="6" w16cid:durableId="461004509">
    <w:abstractNumId w:val="7"/>
  </w:num>
  <w:num w:numId="7" w16cid:durableId="1892887223">
    <w:abstractNumId w:val="0"/>
  </w:num>
  <w:num w:numId="8" w16cid:durableId="43733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D"/>
    <w:rsid w:val="00032AF0"/>
    <w:rsid w:val="0005059A"/>
    <w:rsid w:val="000A3A84"/>
    <w:rsid w:val="000C0D06"/>
    <w:rsid w:val="000D44CE"/>
    <w:rsid w:val="000E6BDF"/>
    <w:rsid w:val="00144755"/>
    <w:rsid w:val="00182A82"/>
    <w:rsid w:val="001865E0"/>
    <w:rsid w:val="001B0A7F"/>
    <w:rsid w:val="001E6BA0"/>
    <w:rsid w:val="00232EDB"/>
    <w:rsid w:val="002601FF"/>
    <w:rsid w:val="00297839"/>
    <w:rsid w:val="002E3F14"/>
    <w:rsid w:val="00332D08"/>
    <w:rsid w:val="00394F93"/>
    <w:rsid w:val="00395FC9"/>
    <w:rsid w:val="003B01A8"/>
    <w:rsid w:val="00470B6A"/>
    <w:rsid w:val="004B21E8"/>
    <w:rsid w:val="004C3BA6"/>
    <w:rsid w:val="004E459E"/>
    <w:rsid w:val="00556D7F"/>
    <w:rsid w:val="005624DA"/>
    <w:rsid w:val="005A32CF"/>
    <w:rsid w:val="005F32ED"/>
    <w:rsid w:val="005F75B4"/>
    <w:rsid w:val="00682F31"/>
    <w:rsid w:val="006B2143"/>
    <w:rsid w:val="006B6F17"/>
    <w:rsid w:val="006C5EFC"/>
    <w:rsid w:val="00771183"/>
    <w:rsid w:val="00775C32"/>
    <w:rsid w:val="007C5E1B"/>
    <w:rsid w:val="007D3405"/>
    <w:rsid w:val="007E059D"/>
    <w:rsid w:val="007E2FA9"/>
    <w:rsid w:val="008106E8"/>
    <w:rsid w:val="0082095F"/>
    <w:rsid w:val="00851EA9"/>
    <w:rsid w:val="008C258E"/>
    <w:rsid w:val="009879F6"/>
    <w:rsid w:val="00992B5B"/>
    <w:rsid w:val="00997603"/>
    <w:rsid w:val="009A4DB2"/>
    <w:rsid w:val="009B46C0"/>
    <w:rsid w:val="009B6BB8"/>
    <w:rsid w:val="009E3FFA"/>
    <w:rsid w:val="009F2E6D"/>
    <w:rsid w:val="00A014ED"/>
    <w:rsid w:val="00A1264C"/>
    <w:rsid w:val="00A422D9"/>
    <w:rsid w:val="00AA6169"/>
    <w:rsid w:val="00AC6746"/>
    <w:rsid w:val="00AF1A58"/>
    <w:rsid w:val="00B10629"/>
    <w:rsid w:val="00BB34A3"/>
    <w:rsid w:val="00BC40CF"/>
    <w:rsid w:val="00BE2100"/>
    <w:rsid w:val="00C12052"/>
    <w:rsid w:val="00C16076"/>
    <w:rsid w:val="00C67248"/>
    <w:rsid w:val="00D208D0"/>
    <w:rsid w:val="00D54B7C"/>
    <w:rsid w:val="00D5611E"/>
    <w:rsid w:val="00D711B5"/>
    <w:rsid w:val="00D844C4"/>
    <w:rsid w:val="00DB00E0"/>
    <w:rsid w:val="00DE32CE"/>
    <w:rsid w:val="00DF085A"/>
    <w:rsid w:val="00DF13AA"/>
    <w:rsid w:val="00E04551"/>
    <w:rsid w:val="00E0683E"/>
    <w:rsid w:val="00E21139"/>
    <w:rsid w:val="00E3743C"/>
    <w:rsid w:val="00EB0E7B"/>
    <w:rsid w:val="00EB4DAE"/>
    <w:rsid w:val="00ED6378"/>
    <w:rsid w:val="00F70FF1"/>
    <w:rsid w:val="00FA10BB"/>
    <w:rsid w:val="00FE10D7"/>
    <w:rsid w:val="00FE6571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A8BA"/>
  <w15:chartTrackingRefBased/>
  <w15:docId w15:val="{E8E045AA-1E3F-4E21-A78B-56D8434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59D"/>
  </w:style>
  <w:style w:type="paragraph" w:styleId="Piedepgina">
    <w:name w:val="footer"/>
    <w:basedOn w:val="Normal"/>
    <w:link w:val="PiedepginaCar"/>
    <w:unhideWhenUsed/>
    <w:rsid w:val="007E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59D"/>
  </w:style>
  <w:style w:type="table" w:styleId="Tablaconcuadrcula">
    <w:name w:val="Table Grid"/>
    <w:basedOn w:val="Tablanormal"/>
    <w:uiPriority w:val="59"/>
    <w:rsid w:val="006B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1FF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E6BD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5611E"/>
  </w:style>
  <w:style w:type="character" w:styleId="Textoennegrita">
    <w:name w:val="Strong"/>
    <w:basedOn w:val="Fuentedeprrafopredeter"/>
    <w:uiPriority w:val="22"/>
    <w:qFormat/>
    <w:rsid w:val="00D5611E"/>
    <w:rPr>
      <w:b/>
      <w:bCs/>
    </w:rPr>
  </w:style>
  <w:style w:type="character" w:customStyle="1" w:styleId="m-7706149890776399685msohyperlink">
    <w:name w:val="m_-7706149890776399685msohyperlink"/>
    <w:basedOn w:val="Fuentedeprrafopredeter"/>
    <w:rsid w:val="00D5611E"/>
  </w:style>
  <w:style w:type="paragraph" w:customStyle="1" w:styleId="Default">
    <w:name w:val="Default"/>
    <w:rsid w:val="000A3A8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agustinintet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C450-5124-4151-B610-A360CD38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 Andes</dc:creator>
  <cp:keywords/>
  <dc:description/>
  <cp:lastModifiedBy>ANDES</cp:lastModifiedBy>
  <cp:revision>4</cp:revision>
  <cp:lastPrinted>2022-10-25T14:15:00Z</cp:lastPrinted>
  <dcterms:created xsi:type="dcterms:W3CDTF">2022-12-09T20:27:00Z</dcterms:created>
  <dcterms:modified xsi:type="dcterms:W3CDTF">2022-12-09T20:35:00Z</dcterms:modified>
</cp:coreProperties>
</file>