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jc w:val="center"/>
        <w:rPr>
          <w:rFonts w:ascii="Pinyon Script" w:cs="Pinyon Script" w:eastAsia="Pinyon Script" w:hAnsi="Pinyon Script"/>
          <w:b w:val="1"/>
          <w:color w:val="000000"/>
          <w:sz w:val="28"/>
          <w:szCs w:val="28"/>
        </w:rPr>
      </w:pPr>
      <w:bookmarkStart w:colFirst="0" w:colLast="0" w:name="_heading=h.gjdgxs" w:id="0"/>
      <w:bookmarkEnd w:id="0"/>
      <w:r w:rsidDel="00000000" w:rsidR="00000000" w:rsidRPr="00000000">
        <w:rPr>
          <w:rFonts w:ascii="Pinyon Script" w:cs="Pinyon Script" w:eastAsia="Pinyon Script" w:hAnsi="Pinyon Script"/>
          <w:b w:val="1"/>
          <w:color w:val="000000"/>
          <w:sz w:val="28"/>
          <w:szCs w:val="28"/>
          <w:rtl w:val="0"/>
        </w:rPr>
        <w:t xml:space="preserve">Alcaldía Mayor de Tunja        </w:t>
        <w:br w:type="textWrapping"/>
        <w:t xml:space="preserve">Secretaría de Educación Municipal</w:t>
        <w:br w:type="textWrapping"/>
        <w:t xml:space="preserve">Institución Educativa Rural del </w:t>
      </w:r>
      <w:r w:rsidDel="00000000" w:rsidR="00000000" w:rsidRPr="00000000">
        <w:rPr>
          <w:rFonts w:ascii="Pinyon Script" w:cs="Pinyon Script" w:eastAsia="Pinyon Script" w:hAnsi="Pinyon Script"/>
          <w:b w:val="1"/>
          <w:i w:val="1"/>
          <w:color w:val="000000"/>
          <w:sz w:val="28"/>
          <w:szCs w:val="28"/>
          <w:rtl w:val="0"/>
        </w:rPr>
        <w:t xml:space="preserve">Sur</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44459</wp:posOffset>
            </wp:positionH>
            <wp:positionV relativeFrom="paragraph">
              <wp:posOffset>934</wp:posOffset>
            </wp:positionV>
            <wp:extent cx="533400" cy="542925"/>
            <wp:effectExtent b="0" l="0" r="0" t="0"/>
            <wp:wrapNone/>
            <wp:docPr descr="Escudo" id="26" name="image1.jpg"/>
            <a:graphic>
              <a:graphicData uri="http://schemas.openxmlformats.org/drawingml/2006/picture">
                <pic:pic>
                  <pic:nvPicPr>
                    <pic:cNvPr descr="Escudo" id="0" name="image1.jpg"/>
                    <pic:cNvPicPr preferRelativeResize="0"/>
                  </pic:nvPicPr>
                  <pic:blipFill>
                    <a:blip r:embed="rId7"/>
                    <a:srcRect b="0" l="0" r="0" t="0"/>
                    <a:stretch>
                      <a:fillRect/>
                    </a:stretch>
                  </pic:blipFill>
                  <pic:spPr>
                    <a:xfrm>
                      <a:off x="0" y="0"/>
                      <a:ext cx="533400" cy="5429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5415280</wp:posOffset>
            </wp:positionH>
            <wp:positionV relativeFrom="paragraph">
              <wp:posOffset>136525</wp:posOffset>
            </wp:positionV>
            <wp:extent cx="400685" cy="466725"/>
            <wp:effectExtent b="0" l="0" r="0" t="0"/>
            <wp:wrapSquare wrapText="bothSides" distB="0" distT="0" distL="114300" distR="114300"/>
            <wp:docPr id="27"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00685" cy="466725"/>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rPr>
          <w:rFonts w:ascii="Pinyon Script" w:cs="Pinyon Script" w:eastAsia="Pinyon Script" w:hAnsi="Pinyon Script"/>
          <w:b w:val="1"/>
          <w:color w:val="000000"/>
          <w:sz w:val="16"/>
          <w:szCs w:val="16"/>
        </w:rPr>
      </w:pPr>
      <w:r w:rsidDel="00000000" w:rsidR="00000000" w:rsidRPr="00000000">
        <w:rPr>
          <w:rFonts w:ascii="Pinyon Script" w:cs="Pinyon Script" w:eastAsia="Pinyon Script" w:hAnsi="Pinyon Script"/>
          <w:b w:val="1"/>
          <w:color w:val="000000"/>
          <w:sz w:val="16"/>
          <w:szCs w:val="16"/>
          <w:rtl w:val="0"/>
        </w:rPr>
        <w:t xml:space="preserve">                                                                              Resolución 02424 del 30 de septiembre de 2002</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rPr>
          <w:rFonts w:ascii="Pinyon Script" w:cs="Pinyon Script" w:eastAsia="Pinyon Script" w:hAnsi="Pinyon Script"/>
          <w:b w:val="1"/>
          <w:color w:val="000000"/>
          <w:sz w:val="16"/>
          <w:szCs w:val="1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Algerian" w:cs="Algerian" w:eastAsia="Algerian" w:hAnsi="Algerian"/>
          <w:sz w:val="24"/>
          <w:szCs w:val="24"/>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Algerian" w:cs="Algerian" w:eastAsia="Algerian" w:hAnsi="Algerian"/>
          <w:color w:val="000000"/>
          <w:sz w:val="24"/>
          <w:szCs w:val="24"/>
        </w:rPr>
      </w:pPr>
      <w:r w:rsidDel="00000000" w:rsidR="00000000" w:rsidRPr="00000000">
        <w:rPr>
          <w:rFonts w:ascii="Algerian" w:cs="Algerian" w:eastAsia="Algerian" w:hAnsi="Algerian"/>
          <w:color w:val="000000"/>
          <w:sz w:val="24"/>
          <w:szCs w:val="24"/>
          <w:rtl w:val="0"/>
        </w:rPr>
        <w:t xml:space="preserve">Acta reunión de área 0</w:t>
      </w:r>
      <w:r w:rsidDel="00000000" w:rsidR="00000000" w:rsidRPr="00000000">
        <w:rPr>
          <w:rFonts w:ascii="Algerian" w:cs="Algerian" w:eastAsia="Algerian" w:hAnsi="Algerian"/>
          <w:sz w:val="24"/>
          <w:szCs w:val="24"/>
          <w:rtl w:val="0"/>
        </w:rPr>
        <w:t xml:space="preserve">8</w:t>
      </w:r>
      <w:r w:rsidDel="00000000" w:rsidR="00000000" w:rsidRPr="00000000">
        <w:rPr>
          <w:rtl w:val="0"/>
        </w:rPr>
      </w:r>
    </w:p>
    <w:p w:rsidR="00000000" w:rsidDel="00000000" w:rsidP="00000000" w:rsidRDefault="00000000" w:rsidRPr="00000000" w14:paraId="0000000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Agenda del día:</w:t>
      </w:r>
    </w:p>
    <w:p w:rsidR="00000000" w:rsidDel="00000000" w:rsidP="00000000" w:rsidRDefault="00000000" w:rsidRPr="00000000" w14:paraId="00000008">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1 Saludo</w:t>
      </w:r>
    </w:p>
    <w:p w:rsidR="00000000" w:rsidDel="00000000" w:rsidP="00000000" w:rsidRDefault="00000000" w:rsidRPr="00000000" w14:paraId="00000009">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2 Proyecto Ambiental Escolar PRAE  (Guardianes en zonas rurales)</w:t>
      </w:r>
    </w:p>
    <w:p w:rsidR="00000000" w:rsidDel="00000000" w:rsidP="00000000" w:rsidRDefault="00000000" w:rsidRPr="00000000" w14:paraId="0000000A">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4 Respuesta apoyo VEOLIA</w:t>
      </w:r>
    </w:p>
    <w:p w:rsidR="00000000" w:rsidDel="00000000" w:rsidP="00000000" w:rsidRDefault="00000000" w:rsidRPr="00000000" w14:paraId="0000000B">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5 Proposiciones y varios</w:t>
      </w:r>
    </w:p>
    <w:p w:rsidR="00000000" w:rsidDel="00000000" w:rsidP="00000000" w:rsidRDefault="00000000" w:rsidRPr="00000000" w14:paraId="0000000C">
      <w:pPr>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6 Finalización</w:t>
      </w:r>
    </w:p>
    <w:p w:rsidR="00000000" w:rsidDel="00000000" w:rsidP="00000000" w:rsidRDefault="00000000" w:rsidRPr="00000000" w14:paraId="0000000D">
      <w:pPr>
        <w:ind w:left="36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E">
      <w:pPr>
        <w:ind w:left="360" w:firstLine="0"/>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Desarrollo de la agenda</w:t>
      </w:r>
    </w:p>
    <w:p w:rsidR="00000000" w:rsidDel="00000000" w:rsidP="00000000" w:rsidRDefault="00000000" w:rsidRPr="00000000" w14:paraId="0000000F">
      <w:pPr>
        <w:ind w:left="36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0">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Siendo las 8:00 am el docente Ernesto Uscátegui Molano saluda a los compañeros de área les da la bienvenida y continúa la agenda.</w:t>
      </w:r>
    </w:p>
    <w:p w:rsidR="00000000" w:rsidDel="00000000" w:rsidP="00000000" w:rsidRDefault="00000000" w:rsidRPr="00000000" w14:paraId="00000011">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Se realizó reunión para dar lectura del acta realizada por la secretaría del medio ambiente, la empresa VEOLIA aguas de Tunja y el coordinador de área Ernesto Uscátegui Molano con el fin de aunar esfuerzos y construir en cada una de las sedes pacas de abono orgánico para las sedes y donde haya huerta casera recibir el apoyo de la secretaría de medio ambiente, además la posibilidad de vincularnos con la empresa tierra viva para generar en los estudiantes deseo de aprender las labores culturales del campo, se dialoga con rectoría y coordinación se fijan compromisos para trabajar el proyecto.</w:t>
      </w:r>
    </w:p>
    <w:p w:rsidR="00000000" w:rsidDel="00000000" w:rsidP="00000000" w:rsidRDefault="00000000" w:rsidRPr="00000000" w14:paraId="00000012">
      <w:pPr>
        <w:ind w:left="72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3">
      <w:pPr>
        <w:numPr>
          <w:ilvl w:val="0"/>
          <w:numId w:val="1"/>
        </w:numPr>
        <w:ind w:left="720" w:hanging="36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Siendo las 9:00 am se da por terminada la reunión</w:t>
      </w:r>
    </w:p>
    <w:p w:rsidR="00000000" w:rsidDel="00000000" w:rsidP="00000000" w:rsidRDefault="00000000" w:rsidRPr="00000000" w14:paraId="00000014">
      <w:pPr>
        <w:spacing w:line="276" w:lineRule="auto"/>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5">
      <w:pPr>
        <w:spacing w:line="276" w:lineRule="auto"/>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6">
      <w:pPr>
        <w:spacing w:line="276" w:lineRule="auto"/>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7">
      <w:pPr>
        <w:spacing w:line="276" w:lineRule="auto"/>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8">
      <w:pPr>
        <w:spacing w:line="276" w:lineRule="auto"/>
        <w:ind w:left="360" w:firstLine="0"/>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Tareas pendientes</w:t>
      </w:r>
    </w:p>
    <w:p w:rsidR="00000000" w:rsidDel="00000000" w:rsidP="00000000" w:rsidRDefault="00000000" w:rsidRPr="00000000" w14:paraId="00000019">
      <w:pPr>
        <w:spacing w:line="276" w:lineRule="auto"/>
        <w:ind w:left="360" w:firstLine="0"/>
        <w:jc w:val="both"/>
        <w:rPr>
          <w:rFonts w:ascii="Arial" w:cs="Arial" w:eastAsia="Arial" w:hAnsi="Arial"/>
          <w:sz w:val="26"/>
          <w:szCs w:val="26"/>
        </w:rPr>
      </w:pPr>
      <w:r w:rsidDel="00000000" w:rsidR="00000000" w:rsidRPr="00000000">
        <w:rPr>
          <w:rFonts w:ascii="Arial" w:cs="Arial" w:eastAsia="Arial" w:hAnsi="Arial"/>
          <w:sz w:val="26"/>
          <w:szCs w:val="26"/>
          <w:rtl w:val="0"/>
        </w:rPr>
        <w:t xml:space="preserve">La profesora Sandra Yamile Pulido y el profesor Jimmy Alexander Vargas pondrán en marcha la consolidación de los semilleros de investigación del proyecto PRAE de la IERS 2024.</w:t>
      </w:r>
    </w:p>
    <w:p w:rsidR="00000000" w:rsidDel="00000000" w:rsidP="00000000" w:rsidRDefault="00000000" w:rsidRPr="00000000" w14:paraId="0000001A">
      <w:pPr>
        <w:ind w:left="360" w:firstLine="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B">
      <w:pPr>
        <w:ind w:left="360" w:firstLine="0"/>
        <w:rPr>
          <w:rFonts w:ascii="Arial" w:cs="Arial" w:eastAsia="Arial" w:hAnsi="Arial"/>
          <w:b w:val="1"/>
          <w:sz w:val="26"/>
          <w:szCs w:val="26"/>
          <w:highlight w:val="white"/>
        </w:rPr>
      </w:pPr>
      <w:r w:rsidDel="00000000" w:rsidR="00000000" w:rsidRPr="00000000">
        <w:rPr>
          <w:rFonts w:ascii="Arial" w:cs="Arial" w:eastAsia="Arial" w:hAnsi="Arial"/>
          <w:b w:val="1"/>
          <w:sz w:val="26"/>
          <w:szCs w:val="26"/>
          <w:rtl w:val="0"/>
        </w:rPr>
        <w:t xml:space="preserve">Fecha:</w:t>
      </w:r>
      <w:r w:rsidDel="00000000" w:rsidR="00000000" w:rsidRPr="00000000">
        <w:rPr>
          <w:rFonts w:ascii="Arial" w:cs="Arial" w:eastAsia="Arial" w:hAnsi="Arial"/>
          <w:b w:val="1"/>
          <w:sz w:val="26"/>
          <w:szCs w:val="26"/>
          <w:highlight w:val="white"/>
          <w:rtl w:val="0"/>
        </w:rPr>
        <w:t xml:space="preserve">07 de mayo de 2024 </w:t>
      </w:r>
    </w:p>
    <w:p w:rsidR="00000000" w:rsidDel="00000000" w:rsidP="00000000" w:rsidRDefault="00000000" w:rsidRPr="00000000" w14:paraId="0000001C">
      <w:pPr>
        <w:ind w:left="360" w:firstLine="0"/>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1D">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Asistentes:</w:t>
      </w:r>
    </w:p>
    <w:p w:rsidR="00000000" w:rsidDel="00000000" w:rsidP="00000000" w:rsidRDefault="00000000" w:rsidRPr="00000000" w14:paraId="0000001E">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Profesora Sandra Yamile Pulido Pulido</w:t>
      </w:r>
    </w:p>
    <w:p w:rsidR="00000000" w:rsidDel="00000000" w:rsidP="00000000" w:rsidRDefault="00000000" w:rsidRPr="00000000" w14:paraId="0000001F">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 Jimmy Alexander Vargas</w:t>
      </w:r>
    </w:p>
    <w:p w:rsidR="00000000" w:rsidDel="00000000" w:rsidP="00000000" w:rsidRDefault="00000000" w:rsidRPr="00000000" w14:paraId="00000020">
      <w:pPr>
        <w:ind w:left="360" w:firstLine="0"/>
        <w:rPr>
          <w:rFonts w:ascii="Arial" w:cs="Arial" w:eastAsia="Arial" w:hAnsi="Arial"/>
          <w:sz w:val="26"/>
          <w:szCs w:val="26"/>
        </w:rPr>
      </w:pPr>
      <w:r w:rsidDel="00000000" w:rsidR="00000000" w:rsidRPr="00000000">
        <w:rPr>
          <w:rFonts w:ascii="Arial" w:cs="Arial" w:eastAsia="Arial" w:hAnsi="Arial"/>
          <w:sz w:val="26"/>
          <w:szCs w:val="26"/>
          <w:rtl w:val="0"/>
        </w:rPr>
        <w:t xml:space="preserve">Profesor Ernesto Uscátegui Molano</w:t>
      </w:r>
    </w:p>
    <w:p w:rsidR="00000000" w:rsidDel="00000000" w:rsidP="00000000" w:rsidRDefault="00000000" w:rsidRPr="00000000" w14:paraId="00000021">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22">
      <w:pPr>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Anexos</w:t>
      </w:r>
    </w:p>
    <w:p w:rsidR="00000000" w:rsidDel="00000000" w:rsidP="00000000" w:rsidRDefault="00000000" w:rsidRPr="00000000" w14:paraId="00000023">
      <w:pPr>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Respuesta envíada a veolia </w:t>
      </w:r>
    </w:p>
    <w:p w:rsidR="00000000" w:rsidDel="00000000" w:rsidP="00000000" w:rsidRDefault="00000000" w:rsidRPr="00000000" w14:paraId="00000024">
      <w:pPr>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25">
      <w:pPr>
        <w:jc w:val="both"/>
        <w:rPr>
          <w:rFonts w:ascii="Arial" w:cs="Arial" w:eastAsia="Arial" w:hAnsi="Arial"/>
          <w:b w:val="1"/>
          <w:sz w:val="26"/>
          <w:szCs w:val="26"/>
        </w:rPr>
      </w:pPr>
      <w:hyperlink r:id="rId9">
        <w:r w:rsidDel="00000000" w:rsidR="00000000" w:rsidRPr="00000000">
          <w:rPr>
            <w:color w:val="0000ee"/>
            <w:u w:val="single"/>
            <w:shd w:fill="auto" w:val="clear"/>
            <w:rtl w:val="0"/>
          </w:rPr>
          <w:t xml:space="preserve">049-AR-EA-GUARDIANES EN ZONAS RURALES I..pdf</w:t>
        </w:r>
      </w:hyperlink>
      <w:r w:rsidDel="00000000" w:rsidR="00000000" w:rsidRPr="00000000">
        <w:rPr>
          <w:rtl w:val="0"/>
        </w:rPr>
      </w:r>
    </w:p>
    <w:p w:rsidR="00000000" w:rsidDel="00000000" w:rsidP="00000000" w:rsidRDefault="00000000" w:rsidRPr="00000000" w14:paraId="00000026">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Elaborado por:</w:t>
      </w:r>
    </w:p>
    <w:p w:rsidR="00000000" w:rsidDel="00000000" w:rsidP="00000000" w:rsidRDefault="00000000" w:rsidRPr="00000000" w14:paraId="00000028">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29">
      <w:pPr>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Ernesto Uscátegui Molano</w:t>
      </w:r>
    </w:p>
    <w:p w:rsidR="00000000" w:rsidDel="00000000" w:rsidP="00000000" w:rsidRDefault="00000000" w:rsidRPr="00000000" w14:paraId="0000002A">
      <w:pPr>
        <w:rPr>
          <w:rFonts w:ascii="Arial" w:cs="Arial" w:eastAsia="Arial" w:hAnsi="Arial"/>
          <w:b w:val="1"/>
          <w:sz w:val="24"/>
          <w:szCs w:val="24"/>
        </w:rPr>
      </w:pPr>
      <w:r w:rsidDel="00000000" w:rsidR="00000000" w:rsidRPr="00000000">
        <w:rPr>
          <w:rFonts w:ascii="Arial" w:cs="Arial" w:eastAsia="Arial" w:hAnsi="Arial"/>
          <w:b w:val="1"/>
          <w:i w:val="1"/>
          <w:sz w:val="24"/>
          <w:szCs w:val="24"/>
          <w:rtl w:val="0"/>
        </w:rPr>
        <w:t xml:space="preserve">Coordinador de </w:t>
      </w:r>
      <w:r w:rsidDel="00000000" w:rsidR="00000000" w:rsidRPr="00000000">
        <w:rPr>
          <w:rFonts w:ascii="Arial" w:cs="Arial" w:eastAsia="Arial" w:hAnsi="Arial"/>
          <w:b w:val="1"/>
          <w:sz w:val="24"/>
          <w:szCs w:val="24"/>
          <w:rtl w:val="0"/>
        </w:rPr>
        <w:t xml:space="preserve">Área Ciencias Naturales y Educación Ambiental</w:t>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Pinyon Script">
    <w:embedRegular w:fontKey="{00000000-0000-0000-0000-000000000000}" r:id="rId1" w:subsetted="0"/>
  </w:font>
  <w:font w:name="Algeri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F61499"/>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F61499"/>
    <w:rPr>
      <w:lang w:val="es-MX"/>
    </w:rPr>
  </w:style>
  <w:style w:type="paragraph" w:styleId="NormalWeb">
    <w:name w:val="Normal (Web)"/>
    <w:basedOn w:val="Normal"/>
    <w:uiPriority w:val="99"/>
    <w:unhideWhenUsed w:val="1"/>
    <w:rsid w:val="00F61499"/>
    <w:pPr>
      <w:spacing w:after="100" w:afterAutospacing="1" w:before="100" w:beforeAutospacing="1" w:line="240" w:lineRule="auto"/>
    </w:pPr>
    <w:rPr>
      <w:rFonts w:ascii="Times New Roman" w:cs="Times New Roman" w:hAnsi="Times New Roman" w:eastAsiaTheme="minorEastAsia"/>
      <w:sz w:val="24"/>
      <w:szCs w:val="24"/>
      <w:lang w:val="es-CO"/>
    </w:rPr>
  </w:style>
  <w:style w:type="paragraph" w:styleId="Prrafodelista">
    <w:name w:val="List Paragraph"/>
    <w:basedOn w:val="Normal"/>
    <w:uiPriority w:val="34"/>
    <w:qFormat w:val="1"/>
    <w:rsid w:val="00F94F87"/>
    <w:pPr>
      <w:ind w:left="720"/>
      <w:contextualSpacing w:val="1"/>
    </w:pPr>
  </w:style>
  <w:style w:type="paragraph" w:styleId="Textodeglobo">
    <w:name w:val="Balloon Text"/>
    <w:basedOn w:val="Normal"/>
    <w:link w:val="TextodegloboCar"/>
    <w:uiPriority w:val="99"/>
    <w:semiHidden w:val="1"/>
    <w:unhideWhenUsed w:val="1"/>
    <w:rsid w:val="00DB155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B155A"/>
    <w:rPr>
      <w:rFonts w:ascii="Segoe UI" w:cs="Segoe UI" w:hAnsi="Segoe UI"/>
      <w:sz w:val="18"/>
      <w:szCs w:val="18"/>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MyukUT8_9BBQbLAtCsooNKSb7Ht_gudL/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inyonScript-regular.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U7+F1n9FN10fmJC1CoL91tgbdw==">CgMxLjAyCGguZ2pkZ3hzOAByITFQbmluQ211dU1YTTlRcVR6ZE9aekNNdVZobEJvS3ppWQ==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2024-02-01T12:40:00Z</dcterms:created>
  <dc:creator>Usuario</dc:creator>
</cp:coreProperties>
</file>